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21C87" w14:textId="77777777" w:rsidR="00EF0157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Załącznik Nr 1</w:t>
      </w:r>
    </w:p>
    <w:p w14:paraId="613D2635" w14:textId="77777777" w:rsidR="00EF0157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</w:p>
    <w:p w14:paraId="01EF9DD1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Należy wspomnieć, że ustawa AT została w istotny sposób znowelizowana na mocy przepisów ustawy z dnia 18 października 2024 r. o zmianie ustawy o działaniach antyterrorystycznych i ustawy o Agencji Bezpieczeństwa Wewnętrznego oraz Agencji Wywiadu (Dz. U. z 2024 r. poz. 1684, zwanej dalej „ustawą zmieniającą").</w:t>
      </w:r>
    </w:p>
    <w:p w14:paraId="6086173E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Celem ustawy zmieniającej było dostosowanie polskiego porządku prawnego do regulacji zawartych w rozporządzeniu Parlamentu Europejskiego i Rady (UE) 2021/784 z dnia 29 kwietnia 2021 r. w sprawie przeciwdziałania rozpowszechnianiu w </w:t>
      </w:r>
      <w:proofErr w:type="spellStart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internecie</w:t>
      </w:r>
      <w:proofErr w:type="spellEnd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 treści o charakterze terrorystycznym (Dz. Urz. UE L 172 z 17.05.2021, str. 79, zwanym dalej „rozporządzeniem 2021/784"). Celem rozporządzenia 2021/784 jest stworzenie zasad mających na celu zapobieganie wykorzystywaniu usług hostingowych do rozpowszechniania w </w:t>
      </w:r>
      <w:proofErr w:type="spellStart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internecie</w:t>
      </w:r>
      <w:proofErr w:type="spellEnd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 treści o charakterze terrorystycznym. W rozporządzeniu 2021/784 określono m.in. obowiązki dostawców usług hostingowych oraz środki, do których wprowadzenia zobowiązane będą państwa członkowskie w celu identyfikacji treści o charakterze terrorystycznym, umożliwienia ich szybkiego usuwania przez dostawców usług oraz ułatwienia współpracy z właściwymi organami innych państw członkowskich UE. Rozporządzenie 2021/784 obejmuje swoim zakresem dostawców usług hostingowych świadczących usługi na terytorium UE, niezależnie od ich miejsca prowadzenia działalności.</w:t>
      </w:r>
    </w:p>
    <w:p w14:paraId="133687D6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Wobec powyższego ustawa zmieniająca wprowadziła do art. 2 ustawy AT definicje pojęć: „dostawca usług hostingowych", „dostawca treści" oraz „treści o charakterze terrorystycznym", które zostały zaczerpnięte z tożsamych definicji zawartych w rozporządzeniu 2021/784.</w:t>
      </w:r>
    </w:p>
    <w:p w14:paraId="2E05CCD9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Ponadto na mocy ustawy zmieniającej dodano do ustawy AT nowy rozdział - 5a, pt. „Przeciwdziałanie rozpowszechnianiu w </w:t>
      </w:r>
      <w:proofErr w:type="spellStart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internecie</w:t>
      </w:r>
      <w:proofErr w:type="spellEnd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 treści o charakterze terrorystycznym".</w:t>
      </w:r>
    </w:p>
    <w:p w14:paraId="2F906BD6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W nowym art. 26a ustawy AT ustanowiono Szefa Agencji Bezpieczeństwa Wewnętrznego organem właściwym w rozumieniu rozporządzenia 2021/784, m.in. do wydawania nakazu usunięcia treści o charakterze terrorystycznym lub uniemożliwienia dostępu do treści terrorystycznych we wszystkich państwach członkowskich.</w:t>
      </w:r>
    </w:p>
    <w:p w14:paraId="5285C3C3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Jednocześnie Szef ABW został zobowiązany, nowym przepisem art. 26b ust. 1 ustawy AT, do wyznaczenia w ramach podległej mu służby punktu kontaktowego właściwego do rozpatrywania wniosków o wyjaśnienia i informacje dotyczące wydanych przez niego nakazów usunięcia. Nowy przepis art. 26c ustawy AT upoważnił ponadto Szefa ABW do prowadzenia nadzoru nad dostawcami usług w zakresie wdrażania przez nich środków szczególnych w zakresie stosowania m.in. postanowień mających przeciwdziałać wykorzystywaniu ich usług do publicznego rozpowszechniania treści o charakterze terrorystycznych. Przepis ten przyznaje również nowe uprawnienia nadzorcze funkcjonariuszom ABW w tym zakresie. Natomiast nowy przepis art. 26d ustawy AT określił procedury stosowania nakazu usunięcia lub stwierdzenia naruszenia przepisów prawa, o których mowa w art. 4 ust. 3 i 4 rozporządzenia 2021/784, a także kary pieniężne dla dostawców usług hostingowych, którzy nie dopełniają nałożonych na nich obowiązków.</w:t>
      </w:r>
    </w:p>
    <w:p w14:paraId="70B3F391" w14:textId="77777777" w:rsidR="00EF0157" w:rsidRPr="00D42C8B" w:rsidRDefault="00EF0157" w:rsidP="00EF0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</w:pPr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Konsekwencją powyższych zmian jest dostosowanie do nich ustawy o ABW oraz AW, w związku z czym nadano nowe brzmienie przepisowi art. 32c tej ustawy, odnoszącemu się do kwestii zarządzania usunięcia lub blokady dostępności w </w:t>
      </w:r>
      <w:proofErr w:type="spellStart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>internecie</w:t>
      </w:r>
      <w:proofErr w:type="spellEnd"/>
      <w:r w:rsidRPr="00D42C8B">
        <w:rPr>
          <w:rFonts w:ascii="Times New Roman" w:eastAsia="Times New Roman" w:hAnsi="Times New Roman" w:cs="Times New Roman"/>
          <w:bCs/>
          <w:iCs/>
          <w:kern w:val="0"/>
          <w:lang w:val="pl-PL" w:eastAsia="pl-PL" w:bidi="pl-PL"/>
          <w14:ligatures w14:val="none"/>
        </w:rPr>
        <w:t xml:space="preserve"> danych informatycznych, mających związek ze zdarzeniem o charakterze terrorystycznym. Zarządzenie w tym przedmiocie, na pisemny wniosek Szefa ABW, złożony po uzyskaniu pisemnej zgody Pierwszego Zastępcy Prokuratora Generalnego Prokuratora Krajowego, w formie postanowienia wydaje Sąd Okręgowy w Warszawie.</w:t>
      </w:r>
    </w:p>
    <w:p w14:paraId="23350D10" w14:textId="77777777" w:rsidR="00A4043E" w:rsidRPr="00EF0157" w:rsidRDefault="00A4043E">
      <w:pPr>
        <w:rPr>
          <w:lang w:val="pl-PL"/>
        </w:rPr>
      </w:pPr>
    </w:p>
    <w:sectPr w:rsidR="00A4043E" w:rsidRPr="00EF0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57"/>
    <w:rsid w:val="003048F7"/>
    <w:rsid w:val="00674D0F"/>
    <w:rsid w:val="00A4043E"/>
    <w:rsid w:val="00B2491A"/>
    <w:rsid w:val="00EE242B"/>
    <w:rsid w:val="00EF0157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BDF07"/>
  <w15:chartTrackingRefBased/>
  <w15:docId w15:val="{C58CB67F-B93C-4207-AE91-16B824D6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157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0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01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0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0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0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0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0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0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015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15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015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015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0157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015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0157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015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0157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EF0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015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0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015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EF0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0157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EF01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01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0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0157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EF01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2025-11-17T10:45:00Z</dcterms:created>
  <dcterms:modified xsi:type="dcterms:W3CDTF">2025-11-17T10:45:00Z</dcterms:modified>
</cp:coreProperties>
</file>